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26" y="0"/>
                <wp:lineTo x="-26" y="20864"/>
                <wp:lineTo x="20942" y="20864"/>
                <wp:lineTo x="20942" y="0"/>
                <wp:lineTo x="-26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6"/>
        <w:tblW w:w="964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приказ Министерства спорта Камчатского края от 18.06.2018 № 246 «Об утверждении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Камчатского края»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экспертного заключения Управления Министерства юстиции Российской Федерации по Камчатскому краю от </w:t>
      </w:r>
      <w:r>
        <w:rPr>
          <w:rFonts w:ascii="Times New Roman" w:hAnsi="Times New Roman"/>
          <w:bCs/>
          <w:sz w:val="28"/>
          <w:szCs w:val="28"/>
          <w:lang w:eastAsia="ru-RU"/>
        </w:rPr>
        <w:t>13.09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.2023 </w:t>
        <w:br/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МинЮст-335 на приказ Министерства спорта Камчатского края от 18.06.2018 №246 «Об утверждении Порядка 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Камчатского края» (с изменениями от 10.08.2023 №13-Н)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к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Порядку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 территории Камчатского края, утвержденному </w:t>
      </w:r>
      <w:r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Министерства спорта Камчатского края от 18.06.2018 № 246 </w:t>
      </w:r>
      <w:r>
        <w:rPr>
          <w:rFonts w:ascii="Times New Roman" w:hAnsi="Times New Roman"/>
          <w:bCs/>
          <w:sz w:val="28"/>
          <w:szCs w:val="28"/>
          <w:lang w:eastAsia="ru-RU"/>
        </w:rPr>
        <w:t>(с изменениями от 10.08.2023 №13-Н)</w:t>
      </w:r>
      <w:r>
        <w:rPr>
          <w:rFonts w:ascii="Times New Roman" w:hAnsi="Times New Roman"/>
          <w:sz w:val="28"/>
        </w:rPr>
        <w:t xml:space="preserve"> в редакции согласно приложению к настоящему приказу.</w:t>
      </w:r>
    </w:p>
    <w:p>
      <w:pPr>
        <w:pStyle w:val="ListParagraph"/>
        <w:spacing w:lineRule="auto" w:line="240" w:before="0"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Настоящий приказ </w:t>
      </w:r>
      <w:r>
        <w:rPr>
          <w:rFonts w:ascii="Times New Roman" w:hAnsi="Times New Roman"/>
          <w:color w:val="000000"/>
          <w:sz w:val="28"/>
          <w:szCs w:val="28"/>
        </w:rPr>
        <w:t>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2723"/>
        <w:gridCol w:w="4399"/>
        <w:gridCol w:w="2410"/>
      </w:tblGrid>
      <w:tr>
        <w:trPr>
          <w:trHeight w:val="1935" w:hRule="atLeast"/>
        </w:trPr>
        <w:tc>
          <w:tcPr>
            <w:tcW w:w="27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К.В. Хмелевский </w:t>
            </w:r>
          </w:p>
        </w:tc>
      </w:tr>
    </w:tbl>
    <w:tbl>
      <w:tblPr>
        <w:tblStyle w:val="af0"/>
        <w:tblW w:w="9387" w:type="dxa"/>
        <w:jc w:val="left"/>
        <w:tblInd w:w="8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6"/>
        <w:gridCol w:w="484"/>
        <w:gridCol w:w="479"/>
        <w:gridCol w:w="3662"/>
        <w:gridCol w:w="34"/>
        <w:gridCol w:w="449"/>
        <w:gridCol w:w="1870"/>
        <w:gridCol w:w="484"/>
        <w:gridCol w:w="1449"/>
      </w:tblGrid>
      <w:tr>
        <w:trPr/>
        <w:tc>
          <w:tcPr>
            <w:tcW w:w="476" w:type="dxa"/>
            <w:tcBorders/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28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приказу</w:t>
            </w:r>
          </w:p>
        </w:tc>
      </w:tr>
      <w:tr>
        <w:trPr/>
        <w:tc>
          <w:tcPr>
            <w:tcW w:w="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286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Министерства спорта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Камчатского края</w:t>
            </w:r>
          </w:p>
        </w:tc>
      </w:tr>
      <w:tr>
        <w:trPr/>
        <w:tc>
          <w:tcPr>
            <w:tcW w:w="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6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8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4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  <w:tr>
        <w:trPr/>
        <w:tc>
          <w:tcPr>
            <w:tcW w:w="513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2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«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 xml:space="preserve">Приложение 1 к Порядку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проведения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н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а территории Камчатского края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2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center"/>
        <w:textAlignment w:val="baseline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О проведении торжественного церемониала открытия и закрытия </w:t>
      </w:r>
      <w:r>
        <w:rPr>
          <w:rFonts w:ascii="Times New Roman" w:hAnsi="Times New Roman"/>
          <w:sz w:val="28"/>
          <w:szCs w:val="28"/>
        </w:rPr>
        <w:t>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Камчатского края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1. Торжественный церемониал открытия и закрытия </w:t>
      </w:r>
      <w:r>
        <w:rPr>
          <w:rFonts w:ascii="Times New Roman" w:hAnsi="Times New Roman"/>
          <w:sz w:val="28"/>
          <w:szCs w:val="28"/>
        </w:rPr>
        <w:t>официальных физкультурных мероприятий и спортивных мероприятий и межмуниципальных официальных физкультурных мероприятий и спортивных мероприятий на территории Камчатского края (далее - Торжественный церемониал) включает по</w:t>
      </w:r>
      <w:r>
        <w:rPr>
          <w:rFonts w:eastAsia="Calibri" w:ascii="Times New Roman" w:hAnsi="Times New Roman"/>
          <w:sz w:val="28"/>
          <w:szCs w:val="28"/>
          <w:lang w:eastAsia="en-US"/>
        </w:rPr>
        <w:t>следовательность действий организаторов Мероприятия, членов оргкомитета Мероприятия, Участников,</w:t>
      </w:r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тренеров, спортивных судей, почетных гостей, других лиц и служб во время открытия, закрытия, награждении победителей, призеров Мероприятия и состоит из следующих частей (церемоний):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1) открытия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2) награждения Участников;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3) закрытия Мероприятия.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 xml:space="preserve">2. 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>Торжественный церемониал разрабатывается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совместно с главной судейской коллегией с учётом 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>ранга и положения о Мероприятии, особенностей и</w:t>
      </w:r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традиций вида спорта, 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>а</w:t>
      </w:r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также правил по соответствующему виду спорта.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 xml:space="preserve">3. 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 xml:space="preserve">Разработанный Торжественный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церемониал, включающий сценарии каждой части (церемонии), а также при необходимости технический план Мероприятия, схемы, эскизы, не позднее, чем за 10 календарных дней, 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>представляется в Министерство для рассмотрения и утверждения.</w:t>
      </w:r>
    </w:p>
    <w:p>
      <w:pPr>
        <w:pStyle w:val="Normal"/>
        <w:widowControl/>
        <w:tabs>
          <w:tab w:val="clear" w:pos="708"/>
          <w:tab w:val="left" w:pos="1020" w:leader="none"/>
        </w:tabs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bCs/>
          <w:sz w:val="28"/>
          <w:szCs w:val="28"/>
          <w:lang w:eastAsia="en-US"/>
        </w:rPr>
        <w:t xml:space="preserve">4. 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 xml:space="preserve">Утвержденный Торжественный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церемониал с приложением 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 xml:space="preserve">разработанных и утверждённых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сценариев каждой части (церемонии), а также в случае наличия - технический план Мероприятия, схемы, эскизы, 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>представляются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не позднее, чем за 2 рабочих дня, 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>руководителям оргкомитета Мероприятия и спортивного сооружения,</w:t>
      </w:r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ведущему Мероприятия, судье-информатору и другим лицам, ответственным 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>за проведение</w:t>
      </w:r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>Торжественного церемониала.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5. </w:t>
      </w:r>
      <w:r>
        <w:rPr>
          <w:rFonts w:ascii="Times New Roman" w:hAnsi="Times New Roman"/>
          <w:spacing w:val="2"/>
          <w:sz w:val="28"/>
          <w:szCs w:val="28"/>
        </w:rPr>
        <w:t xml:space="preserve">Спортивное сооружение, на котором проводится Торжественный церемониал, должно быть оформлено средствами наглядной агитации и пропаганды (баннеры, растяжки), радиофицировано, а также быть снабжено государственной символикой Российской Федерации и Камчатского края, оборудованием и инвентарем для проведения Торжественного церемониала: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Государственным флагом Российской Федерации, флагом Камчатского края;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фонограммой Государственного гимна Российской Федерации и Камчатского края;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пьедесталом (подиумом) для награждения победителей и призеров Мероприятия;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40" w:before="0" w:after="0"/>
        <w:ind w:left="0" w:firstLine="567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штандартом с названием команд-участниц Мероприятия. 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567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bCs/>
          <w:spacing w:val="2"/>
          <w:sz w:val="28"/>
          <w:szCs w:val="28"/>
          <w:lang w:eastAsia="en-US"/>
        </w:rPr>
        <w:t xml:space="preserve">6. 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>Руководитель объекта спорта или оргкомитета Мероприятия совместно с главной судьей</w:t>
      </w:r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проводят 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>проверку готовности спортивного</w:t>
      </w:r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сооружения (места проведения) к проведению Торжественного церемониала.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 xml:space="preserve">7.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На Торжественный церемониал участники соревнований должны выходить в спортивной форме. 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8</w:t>
      </w:r>
      <w:r>
        <w:rPr>
          <w:rFonts w:eastAsia="Calibri" w:ascii="Times New Roman" w:hAnsi="Times New Roman"/>
          <w:sz w:val="28"/>
          <w:szCs w:val="28"/>
          <w:lang w:eastAsia="en-US"/>
        </w:rPr>
        <w:t>.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 xml:space="preserve"> При подготовке Торжественного церемониала по необходимости проводятся репетиции с участием всех лиц и служб,</w:t>
      </w:r>
      <w:r>
        <w:rPr>
          <w:rFonts w:eastAsia="Calibri" w:ascii="Times New Roman" w:hAnsi="Times New Roman"/>
          <w:b/>
          <w:bCs/>
          <w:sz w:val="28"/>
          <w:szCs w:val="28"/>
          <w:lang w:eastAsia="en-US"/>
        </w:rPr>
        <w:t xml:space="preserve"> 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обеспечивающих отдельные </w:t>
      </w:r>
      <w:r>
        <w:rPr>
          <w:rFonts w:eastAsia="Calibri" w:ascii="Times New Roman" w:hAnsi="Times New Roman"/>
          <w:bCs/>
          <w:sz w:val="28"/>
          <w:szCs w:val="28"/>
          <w:lang w:eastAsia="en-US"/>
        </w:rPr>
        <w:t>его части. На генеральной репетиции Торжественного церемониала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 обязательно присутствие представителей организаторов и главной судейской коллегии.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9</w:t>
      </w:r>
      <w:r>
        <w:rPr>
          <w:rFonts w:eastAsia="Calibri" w:ascii="Times New Roman" w:hAnsi="Times New Roman"/>
          <w:sz w:val="28"/>
          <w:szCs w:val="28"/>
          <w:lang w:eastAsia="en-US"/>
        </w:rPr>
        <w:t>. Церемония открытия Мероприятия включает: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 xml:space="preserve">построение перед началом церемонии Участников, тренеров, спортивных судей, представителей оргкомитета Мероприятия и почётных гостей;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 xml:space="preserve">информацию судьи-информатора о Мероприятии, его Участниках, истории вида спорта, достижениях спортсменов Камчатского края; 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позывные о начале церемонии открытия;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по решению организаторов Мероприятия исполнение марша для выхода членов оргкомитета, почётных гостей, Участников, спортивных судей и тренеров;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приветствие руководителя оргкомитета, объявление об открытии Мероприятия, с исполнением государственного гимна Российской Федерации и гимна Камчатского края;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 xml:space="preserve">приветствие Участников Мероприятия членами оргкомитета, представителями региональной спортивной федерации, почётных гостей;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возможно вручение вымпелов, значков, цветов, сувениров Участникам и почетным гостям соревнований;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0"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Calibri" w:ascii="Times New Roman" w:hAnsi="Times New Roman"/>
          <w:sz w:val="28"/>
          <w:szCs w:val="28"/>
          <w:lang w:eastAsia="en-US"/>
        </w:rPr>
        <w:t>показательные выступления художественных коллективов и спортсменов.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10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. Церемония награждения участников Мероприятия проводится с учетом особенностей вида спорта, условий, места проведения и включает:  </w:t>
      </w:r>
    </w:p>
    <w:p>
      <w:pPr>
        <w:pStyle w:val="NormalWeb"/>
        <w:spacing w:beforeAutospacing="0" w:before="0" w:after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сбор и построение Участников для награждения; </w:t>
      </w:r>
    </w:p>
    <w:p>
      <w:pPr>
        <w:pStyle w:val="NormalWeb"/>
        <w:spacing w:beforeAutospacing="0" w:before="0" w:after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позывные о начале церемонии награждения; </w:t>
      </w:r>
    </w:p>
    <w:p>
      <w:pPr>
        <w:pStyle w:val="NormalWeb"/>
        <w:spacing w:beforeAutospacing="0" w:before="0" w:after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rFonts w:eastAsia="Calibri"/>
          <w:sz w:val="28"/>
          <w:szCs w:val="28"/>
          <w:lang w:eastAsia="en-US"/>
        </w:rPr>
        <w:t>по решению организаторов Мероприятия м</w:t>
      </w:r>
      <w:r>
        <w:rPr>
          <w:sz w:val="28"/>
          <w:szCs w:val="28"/>
        </w:rPr>
        <w:t xml:space="preserve">арш на выход Участников;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информацию судьи-информатора о призёрах Мероприятия и лицах, вручающих награды; 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проведение процедуры награждения (вручение медалей, призов, дипломов, цветов, памятных сувениров); </w:t>
      </w:r>
    </w:p>
    <w:p>
      <w:pPr>
        <w:pStyle w:val="NormalWeb"/>
        <w:spacing w:beforeAutospacing="0" w:before="0" w:after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музыкальное сопровождение награждения торжественной музыкой.  </w:t>
      </w:r>
    </w:p>
    <w:p>
      <w:pPr>
        <w:pStyle w:val="NormalWeb"/>
        <w:spacing w:beforeAutospacing="0" w:before="0" w:afterAutospacing="0" w:after="0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Церемония закрытия Мероприятия включает: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0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судьи-информатора о результатах Мероприятия;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0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построение Участников Мероприятия перед </w:t>
      </w:r>
      <w:r>
        <w:rPr>
          <w:rFonts w:eastAsia="Calibri"/>
          <w:sz w:val="28"/>
          <w:szCs w:val="28"/>
          <w:lang w:eastAsia="en-US"/>
        </w:rPr>
        <w:t xml:space="preserve">началом церемонии или по решению организаторов Мероприятия исполнение марша для выхода Участников; 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0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позывные о начале церемонии;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0" w:leader="none"/>
          <w:tab w:val="left" w:pos="426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представителей организаторов или оргкомитета;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0" w:leader="none"/>
          <w:tab w:val="left" w:pos="426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вручение сувенирной продукции и наград;</w:t>
      </w:r>
    </w:p>
    <w:p>
      <w:pPr>
        <w:pStyle w:val="NormalWeb"/>
        <w:numPr>
          <w:ilvl w:val="0"/>
          <w:numId w:val="4"/>
        </w:numPr>
        <w:tabs>
          <w:tab w:val="clear" w:pos="708"/>
          <w:tab w:val="left" w:pos="0" w:leader="none"/>
          <w:tab w:val="left" w:pos="426" w:leader="none"/>
        </w:tabs>
        <w:spacing w:beforeAutospacing="0" w:before="0" w:after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объявление главным судьей о закрытии Мероприятия.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1</w:t>
      </w:r>
      <w:r>
        <w:rPr>
          <w:rFonts w:eastAsia="Calibri" w:ascii="Times New Roman" w:hAnsi="Times New Roman"/>
          <w:sz w:val="28"/>
          <w:szCs w:val="28"/>
          <w:lang w:eastAsia="en-US"/>
        </w:rPr>
        <w:t>2</w:t>
      </w:r>
      <w:r>
        <w:rPr>
          <w:rFonts w:eastAsia="Calibri" w:ascii="Times New Roman" w:hAnsi="Times New Roman"/>
          <w:sz w:val="28"/>
          <w:szCs w:val="28"/>
          <w:lang w:eastAsia="en-US"/>
        </w:rPr>
        <w:t>. Церемонии награждения Участников и закрытия Мероприятия могут проводиться одним мероприятием -  как одна церемония.».</w:t>
      </w:r>
    </w:p>
    <w:p>
      <w:pPr>
        <w:pStyle w:val="NormalWeb"/>
        <w:spacing w:beforeAutospacing="0" w:before="0" w:after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418" w:right="851" w:gutter="0" w:header="0" w:top="1134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665" w:hanging="525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  <w:rPr/>
    </w:lvl>
  </w:abstractNum>
  <w:abstractNum w:abstractNumId="3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500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50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9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Style10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Style11" w:customStyle="1">
    <w:name w:val="Верхний колонтитул Знак"/>
    <w:basedOn w:val="11"/>
    <w:qFormat/>
    <w:rPr/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2">
    <w:name w:val="Hyperlink"/>
    <w:basedOn w:val="DefaultParagraphFont"/>
    <w:link w:val="15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3" w:customStyle="1">
    <w:name w:val="Текст Знак"/>
    <w:basedOn w:val="11"/>
    <w:link w:val="PlainText"/>
    <w:qFormat/>
    <w:rPr>
      <w:rFonts w:ascii="Calibri" w:hAnsi="Calibri"/>
    </w:rPr>
  </w:style>
  <w:style w:type="character" w:styleId="Style14" w:customStyle="1">
    <w:name w:val="Подзаголовок Знак"/>
    <w:qFormat/>
    <w:rPr>
      <w:rFonts w:ascii="XO Thames" w:hAnsi="XO Thames"/>
      <w:i/>
      <w:sz w:val="24"/>
    </w:rPr>
  </w:style>
  <w:style w:type="character" w:styleId="Style15" w:customStyle="1">
    <w:name w:val="Название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Style16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9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22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>
    <w:name w:val="Footer"/>
    <w:basedOn w:val="Normal"/>
    <w:link w:val="Style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4">
    <w:name w:val="Header"/>
    <w:basedOn w:val="Normal"/>
    <w:link w:val="Style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Гиперссылка1"/>
    <w:basedOn w:val="14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3"/>
    <w:qFormat/>
    <w:pPr>
      <w:spacing w:lineRule="auto" w:line="240" w:before="0" w:after="0"/>
    </w:pPr>
    <w:rPr>
      <w:rFonts w:ascii="Calibri" w:hAnsi="Calibri"/>
    </w:rPr>
  </w:style>
  <w:style w:type="paragraph" w:styleId="Style25">
    <w:name w:val="Subtitle"/>
    <w:next w:val="Normal"/>
    <w:link w:val="Style14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6">
    <w:name w:val="Title"/>
    <w:next w:val="Normal"/>
    <w:link w:val="Style15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color w:val="auto"/>
      <w:szCs w:val="22"/>
      <w:lang w:eastAsia="en-US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val="ru-RU" w:eastAsia="ar-SA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LibreOffice/7.4.4.2$Linux_X86_64 LibreOffice_project/40$Build-2</Application>
  <AppVersion>15.0000</AppVersion>
  <Pages>4</Pages>
  <Words>780</Words>
  <Characters>5974</Characters>
  <CharactersWithSpaces>6707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2023-07-19T05:14:00Z</dcterms:created>
  <dc:creator>Вихров Роман Сергеевич</dc:creator>
  <dc:description/>
  <dc:language>ru-RU</dc:language>
  <cp:lastModifiedBy/>
  <dcterms:modified xsi:type="dcterms:W3CDTF">2023-10-06T17:53:03Z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